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0EC0" w14:textId="5468F695" w:rsidR="008A1406" w:rsidRPr="00674681" w:rsidRDefault="008A1406" w:rsidP="00C71119">
      <w:pPr>
        <w:tabs>
          <w:tab w:val="left" w:pos="10348"/>
        </w:tabs>
        <w:rPr>
          <w:rFonts w:cs="Arial"/>
          <w:b/>
          <w:color w:val="17365D" w:themeColor="text2" w:themeShade="BF"/>
          <w:sz w:val="52"/>
          <w:szCs w:val="52"/>
        </w:rPr>
      </w:pPr>
      <w:r w:rsidRPr="00674681">
        <w:rPr>
          <w:rFonts w:cs="Arial"/>
          <w:b/>
          <w:color w:val="17365D" w:themeColor="text2" w:themeShade="BF"/>
          <w:sz w:val="52"/>
          <w:szCs w:val="52"/>
        </w:rPr>
        <w:t xml:space="preserve">Investing for Success </w:t>
      </w:r>
    </w:p>
    <w:p w14:paraId="35252ED7" w14:textId="51989040" w:rsidR="008A1406" w:rsidRPr="00674681" w:rsidRDefault="008A1406" w:rsidP="00592C3D">
      <w:pPr>
        <w:rPr>
          <w:rFonts w:cs="Arial"/>
          <w:b/>
          <w:color w:val="17365D" w:themeColor="text2" w:themeShade="BF"/>
          <w:sz w:val="32"/>
          <w:szCs w:val="32"/>
        </w:rPr>
      </w:pPr>
    </w:p>
    <w:p w14:paraId="44F41EB3" w14:textId="7FC009A0" w:rsidR="0027383A" w:rsidRPr="00674681" w:rsidRDefault="00592C3D" w:rsidP="00592C3D">
      <w:pPr>
        <w:rPr>
          <w:rFonts w:cs="Arial"/>
          <w:b/>
          <w:color w:val="17365D" w:themeColor="text2" w:themeShade="BF"/>
          <w:sz w:val="32"/>
          <w:szCs w:val="32"/>
        </w:rPr>
      </w:pPr>
      <w:r>
        <w:rPr>
          <w:rFonts w:cs="Arial"/>
          <w:b/>
          <w:color w:val="17365D" w:themeColor="text2" w:themeShade="BF"/>
          <w:sz w:val="32"/>
          <w:szCs w:val="32"/>
        </w:rPr>
        <w:t>Under this agreement for 202</w:t>
      </w:r>
      <w:r w:rsidR="00DA6FC0">
        <w:rPr>
          <w:rFonts w:cs="Arial"/>
          <w:b/>
          <w:color w:val="17365D" w:themeColor="text2" w:themeShade="BF"/>
          <w:sz w:val="32"/>
          <w:szCs w:val="32"/>
        </w:rPr>
        <w:t>2</w:t>
      </w:r>
    </w:p>
    <w:p w14:paraId="44F41EB4" w14:textId="2D5EFD15" w:rsidR="002A36F3" w:rsidRPr="00674681" w:rsidRDefault="003D54AE" w:rsidP="00592C3D">
      <w:pPr>
        <w:tabs>
          <w:tab w:val="right" w:pos="11340"/>
        </w:tabs>
        <w:rPr>
          <w:rFonts w:cs="Arial"/>
          <w:b/>
          <w:color w:val="17365D" w:themeColor="text2" w:themeShade="BF"/>
          <w:sz w:val="32"/>
          <w:szCs w:val="32"/>
        </w:rPr>
      </w:pPr>
      <w:r>
        <w:rPr>
          <w:rFonts w:cs="Arial"/>
          <w:b/>
          <w:color w:val="17365D" w:themeColor="text2" w:themeShade="BF"/>
          <w:sz w:val="32"/>
          <w:szCs w:val="32"/>
        </w:rPr>
        <w:t>Abergowrie State School</w:t>
      </w:r>
      <w:r w:rsidR="00167BF5" w:rsidRPr="00674681">
        <w:rPr>
          <w:rFonts w:cs="Arial"/>
          <w:b/>
          <w:color w:val="17365D" w:themeColor="text2" w:themeShade="BF"/>
          <w:sz w:val="32"/>
          <w:szCs w:val="32"/>
        </w:rPr>
        <w:t xml:space="preserve"> will receive</w:t>
      </w:r>
    </w:p>
    <w:p w14:paraId="44F41EB5" w14:textId="6488A95E" w:rsidR="00167BF5" w:rsidRDefault="00167BF5" w:rsidP="00C71119">
      <w:pPr>
        <w:tabs>
          <w:tab w:val="right" w:pos="9923"/>
        </w:tabs>
        <w:rPr>
          <w:rFonts w:cs="Arial"/>
          <w:b/>
          <w:color w:val="17365D" w:themeColor="text2" w:themeShade="BF"/>
          <w:sz w:val="40"/>
          <w:szCs w:val="40"/>
          <w:bdr w:val="single" w:sz="4" w:space="0" w:color="95B3D7" w:themeColor="accent1" w:themeTint="99"/>
          <w:shd w:val="clear" w:color="auto" w:fill="DBE5F1" w:themeFill="accent1" w:themeFillTint="33"/>
          <w:vertAlign w:val="superscript"/>
        </w:rPr>
      </w:pPr>
      <w:r>
        <w:rPr>
          <w:rFonts w:cs="Arial"/>
          <w:b/>
          <w:color w:val="17365D" w:themeColor="text2" w:themeShade="BF"/>
          <w:sz w:val="32"/>
          <w:szCs w:val="32"/>
        </w:rPr>
        <w:tab/>
      </w:r>
      <w:sdt>
        <w:sdtPr>
          <w:rPr>
            <w:rFonts w:cs="Arial"/>
            <w:b/>
            <w:color w:val="17365D" w:themeColor="text2" w:themeShade="BF"/>
            <w:sz w:val="40"/>
            <w:szCs w:val="40"/>
            <w:bdr w:val="single" w:sz="4" w:space="0" w:color="95B3D7" w:themeColor="accent1" w:themeTint="99"/>
            <w:shd w:val="clear" w:color="auto" w:fill="DBE5F1" w:themeFill="accent1" w:themeFillTint="33"/>
          </w:rPr>
          <w:id w:val="1221334390"/>
          <w:placeholder>
            <w:docPart w:val="43682F47D2314FD193451FAA33C55227"/>
          </w:placeholder>
        </w:sdtPr>
        <w:sdtEndPr/>
        <w:sdtContent>
          <w:r w:rsidRPr="00167BF5">
            <w:rPr>
              <w:rFonts w:cs="Arial"/>
              <w:b/>
              <w:color w:val="17365D" w:themeColor="text2" w:themeShade="BF"/>
              <w:sz w:val="40"/>
              <w:szCs w:val="40"/>
              <w:bdr w:val="single" w:sz="4" w:space="0" w:color="95B3D7" w:themeColor="accent1" w:themeTint="99"/>
              <w:shd w:val="clear" w:color="auto" w:fill="DBE5F1" w:themeFill="accent1" w:themeFillTint="33"/>
            </w:rPr>
            <w:t>$</w:t>
          </w:r>
          <w:r w:rsidR="00DE267B">
            <w:rPr>
              <w:rFonts w:cs="Arial"/>
              <w:b/>
              <w:color w:val="17365D" w:themeColor="text2" w:themeShade="BF"/>
              <w:sz w:val="40"/>
              <w:szCs w:val="40"/>
              <w:bdr w:val="single" w:sz="4" w:space="0" w:color="95B3D7" w:themeColor="accent1" w:themeTint="99"/>
              <w:shd w:val="clear" w:color="auto" w:fill="DBE5F1" w:themeFill="accent1" w:themeFillTint="33"/>
            </w:rPr>
            <w:t>5633</w:t>
          </w:r>
        </w:sdtContent>
      </w:sdt>
      <w:r w:rsidRPr="00167BF5">
        <w:rPr>
          <w:rFonts w:cs="Arial"/>
          <w:b/>
          <w:color w:val="17365D" w:themeColor="text2" w:themeShade="BF"/>
          <w:sz w:val="40"/>
          <w:szCs w:val="40"/>
          <w:bdr w:val="single" w:sz="4" w:space="0" w:color="95B3D7" w:themeColor="accent1" w:themeTint="99"/>
          <w:shd w:val="clear" w:color="auto" w:fill="DBE5F1" w:themeFill="accent1" w:themeFillTint="33"/>
          <w:vertAlign w:val="superscript"/>
        </w:rPr>
        <w:t>*</w:t>
      </w:r>
    </w:p>
    <w:p w14:paraId="44F41EBE" w14:textId="7CE9D7F7" w:rsidR="009F7CBD" w:rsidRPr="00167BF5" w:rsidRDefault="009F7CBD" w:rsidP="00592C3D">
      <w:pPr>
        <w:spacing w:before="120"/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205"/>
      </w:tblGrid>
      <w:tr w:rsidR="009F7CBD" w14:paraId="44F41EC0" w14:textId="77777777" w:rsidTr="00592C3D">
        <w:trPr>
          <w:cantSplit/>
          <w:trHeight w:val="397"/>
        </w:trPr>
        <w:tc>
          <w:tcPr>
            <w:tcW w:w="10205" w:type="dxa"/>
            <w:shd w:val="clear" w:color="auto" w:fill="FFF789"/>
            <w:vAlign w:val="center"/>
          </w:tcPr>
          <w:p w14:paraId="44F41EBF" w14:textId="074FB5A3" w:rsidR="009F7CBD" w:rsidRDefault="009F7CBD" w:rsidP="00592C3D">
            <w:pPr>
              <w:rPr>
                <w:rFonts w:cs="Arial"/>
                <w:color w:val="17365D" w:themeColor="text2" w:themeShade="BF"/>
              </w:rPr>
            </w:pPr>
            <w:r w:rsidRPr="00CC7E70">
              <w:rPr>
                <w:rFonts w:cs="Arial"/>
                <w:b/>
                <w:color w:val="17365D" w:themeColor="text2" w:themeShade="BF"/>
                <w:sz w:val="24"/>
              </w:rPr>
              <w:t>This funding will be used to</w:t>
            </w:r>
          </w:p>
        </w:tc>
      </w:tr>
    </w:tbl>
    <w:p w14:paraId="44F41EC2" w14:textId="085412FF" w:rsidR="003D54AE" w:rsidRPr="00592C3D" w:rsidRDefault="00EC632F" w:rsidP="003D54AE">
      <w:pPr>
        <w:pStyle w:val="ListParagraph"/>
        <w:numPr>
          <w:ilvl w:val="0"/>
          <w:numId w:val="12"/>
        </w:numPr>
        <w:tabs>
          <w:tab w:val="left" w:pos="426"/>
        </w:tabs>
        <w:spacing w:before="60"/>
        <w:ind w:left="425" w:hanging="425"/>
        <w:contextualSpacing w:val="0"/>
        <w:rPr>
          <w:rFonts w:cs="Arial"/>
          <w:color w:val="17365D" w:themeColor="text2" w:themeShade="BF"/>
          <w:szCs w:val="22"/>
        </w:rPr>
      </w:pPr>
      <w:r>
        <w:rPr>
          <w:rFonts w:cs="Arial"/>
          <w:color w:val="17365D" w:themeColor="text2" w:themeShade="BF"/>
          <w:szCs w:val="22"/>
        </w:rPr>
        <w:t>Increase the percentage of students achieving ‘B’ or above for English</w:t>
      </w:r>
    </w:p>
    <w:p w14:paraId="44F41EC4" w14:textId="1721C68A" w:rsidR="009F7CBD" w:rsidRDefault="009F7CBD" w:rsidP="00EC632F">
      <w:pPr>
        <w:pStyle w:val="ListParagraph"/>
        <w:numPr>
          <w:ilvl w:val="0"/>
          <w:numId w:val="12"/>
        </w:numPr>
        <w:tabs>
          <w:tab w:val="left" w:pos="426"/>
        </w:tabs>
        <w:spacing w:before="60"/>
        <w:ind w:left="425" w:hanging="425"/>
        <w:contextualSpacing w:val="0"/>
        <w:rPr>
          <w:rFonts w:cs="Arial"/>
          <w:color w:val="17365D" w:themeColor="text2" w:themeShade="BF"/>
          <w:szCs w:val="22"/>
        </w:rPr>
      </w:pPr>
      <w:proofErr w:type="gramStart"/>
      <w:r w:rsidRPr="00592C3D">
        <w:rPr>
          <w:rFonts w:cs="Arial"/>
          <w:color w:val="17365D" w:themeColor="text2" w:themeShade="BF"/>
          <w:szCs w:val="22"/>
        </w:rPr>
        <w:t>.</w:t>
      </w:r>
      <w:r w:rsidR="00EC632F">
        <w:rPr>
          <w:rFonts w:cs="Arial"/>
          <w:color w:val="17365D" w:themeColor="text2" w:themeShade="BF"/>
          <w:szCs w:val="22"/>
        </w:rPr>
        <w:t>Continue</w:t>
      </w:r>
      <w:proofErr w:type="gramEnd"/>
      <w:r w:rsidR="00EC632F">
        <w:rPr>
          <w:rFonts w:cs="Arial"/>
          <w:color w:val="17365D" w:themeColor="text2" w:themeShade="BF"/>
          <w:szCs w:val="22"/>
        </w:rPr>
        <w:t xml:space="preserve"> to use, and align P-10 Literacy Continuum to monitor students’ progress, goals, and achievements in literacy. </w:t>
      </w:r>
    </w:p>
    <w:p w14:paraId="05CA5B27" w14:textId="304F409F" w:rsidR="00EC632F" w:rsidRDefault="00EC632F" w:rsidP="00EC632F">
      <w:pPr>
        <w:pStyle w:val="ListParagraph"/>
        <w:numPr>
          <w:ilvl w:val="0"/>
          <w:numId w:val="12"/>
        </w:numPr>
        <w:tabs>
          <w:tab w:val="left" w:pos="426"/>
        </w:tabs>
        <w:spacing w:before="60"/>
        <w:ind w:left="425" w:hanging="425"/>
        <w:contextualSpacing w:val="0"/>
        <w:rPr>
          <w:rFonts w:cs="Arial"/>
          <w:color w:val="17365D" w:themeColor="text2" w:themeShade="BF"/>
          <w:szCs w:val="22"/>
        </w:rPr>
      </w:pPr>
      <w:r>
        <w:rPr>
          <w:rFonts w:cs="Arial"/>
          <w:color w:val="17365D" w:themeColor="text2" w:themeShade="BF"/>
          <w:szCs w:val="22"/>
        </w:rPr>
        <w:t xml:space="preserve">Continue to develop and implement </w:t>
      </w:r>
      <w:proofErr w:type="spellStart"/>
      <w:r>
        <w:rPr>
          <w:rFonts w:cs="Arial"/>
          <w:color w:val="17365D" w:themeColor="text2" w:themeShade="BF"/>
          <w:szCs w:val="22"/>
        </w:rPr>
        <w:t>Indivudal</w:t>
      </w:r>
      <w:proofErr w:type="spellEnd"/>
      <w:r>
        <w:rPr>
          <w:rFonts w:cs="Arial"/>
          <w:color w:val="17365D" w:themeColor="text2" w:themeShade="BF"/>
          <w:szCs w:val="22"/>
        </w:rPr>
        <w:t xml:space="preserve"> Student Inquiry Cycles through the </w:t>
      </w:r>
      <w:proofErr w:type="spellStart"/>
      <w:r>
        <w:rPr>
          <w:rFonts w:cs="Arial"/>
          <w:color w:val="17365D" w:themeColor="text2" w:themeShade="BF"/>
          <w:szCs w:val="22"/>
        </w:rPr>
        <w:t>alighnment</w:t>
      </w:r>
      <w:proofErr w:type="spellEnd"/>
      <w:r>
        <w:rPr>
          <w:rFonts w:cs="Arial"/>
          <w:color w:val="17365D" w:themeColor="text2" w:themeShade="BF"/>
          <w:szCs w:val="22"/>
        </w:rPr>
        <w:t xml:space="preserve"> of student goals, </w:t>
      </w:r>
      <w:proofErr w:type="spellStart"/>
      <w:r>
        <w:rPr>
          <w:rFonts w:cs="Arial"/>
          <w:color w:val="17365D" w:themeColor="text2" w:themeShade="BF"/>
          <w:szCs w:val="22"/>
        </w:rPr>
        <w:t>iteracy</w:t>
      </w:r>
      <w:proofErr w:type="spellEnd"/>
      <w:r>
        <w:rPr>
          <w:rFonts w:cs="Arial"/>
          <w:color w:val="17365D" w:themeColor="text2" w:themeShade="BF"/>
          <w:szCs w:val="22"/>
        </w:rPr>
        <w:t xml:space="preserve"> Continuum markers, and 5Q4 Model. </w:t>
      </w:r>
    </w:p>
    <w:p w14:paraId="6B6EF1DF" w14:textId="77777777" w:rsidR="00EC632F" w:rsidRPr="00EC632F" w:rsidRDefault="00EC632F" w:rsidP="00EC632F">
      <w:pPr>
        <w:pStyle w:val="ListParagraph"/>
        <w:tabs>
          <w:tab w:val="left" w:pos="426"/>
        </w:tabs>
        <w:spacing w:before="60"/>
        <w:ind w:left="425"/>
        <w:contextualSpacing w:val="0"/>
        <w:rPr>
          <w:rFonts w:cs="Arial"/>
          <w:color w:val="17365D" w:themeColor="text2" w:themeShade="BF"/>
          <w:szCs w:val="22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205"/>
      </w:tblGrid>
      <w:tr w:rsidR="009F7CBD" w14:paraId="44F41EC6" w14:textId="77777777" w:rsidTr="00592C3D">
        <w:trPr>
          <w:cantSplit/>
          <w:trHeight w:val="397"/>
        </w:trPr>
        <w:tc>
          <w:tcPr>
            <w:tcW w:w="10205" w:type="dxa"/>
            <w:shd w:val="clear" w:color="auto" w:fill="FFF789"/>
            <w:vAlign w:val="center"/>
          </w:tcPr>
          <w:p w14:paraId="44F41EC5" w14:textId="08474931" w:rsidR="009F7CBD" w:rsidRDefault="009F7CBD" w:rsidP="00592C3D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</w:rPr>
              <w:t>Our initiatives include</w:t>
            </w:r>
          </w:p>
        </w:tc>
      </w:tr>
    </w:tbl>
    <w:p w14:paraId="378560E2" w14:textId="772E4C0B" w:rsidR="003D54AE" w:rsidRPr="002D0324" w:rsidRDefault="003D54AE" w:rsidP="002D0324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contextualSpacing w:val="0"/>
        <w:rPr>
          <w:rFonts w:ascii="ArialNarrow" w:eastAsiaTheme="minorEastAsia" w:hAnsi="ArialNarrow" w:cs="ArialNarrow"/>
          <w:color w:val="17365D"/>
          <w:szCs w:val="22"/>
          <w:lang w:eastAsia="zh-CN"/>
        </w:rPr>
      </w:pPr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Implementation of Quality Teaching and Learning Framework underpinned by the </w:t>
      </w:r>
      <w:r w:rsidRPr="003D54AE">
        <w:rPr>
          <w:rFonts w:cs="Arial"/>
          <w:color w:val="17365D" w:themeColor="text2" w:themeShade="BF"/>
          <w:szCs w:val="22"/>
        </w:rPr>
        <w:t>research</w:t>
      </w:r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 of </w:t>
      </w:r>
      <w:proofErr w:type="spellStart"/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>Sharratt</w:t>
      </w:r>
      <w:proofErr w:type="spellEnd"/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 and Fullan, to develop </w:t>
      </w:r>
      <w:proofErr w:type="gramStart"/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>teachers</w:t>
      </w:r>
      <w:proofErr w:type="gramEnd"/>
      <w:r w:rsidRPr="003D54AE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 professional knowledge and practice to develop assessment Literate Learners achieving “C” and above in English.</w:t>
      </w:r>
    </w:p>
    <w:p w14:paraId="19EEAA19" w14:textId="008D85E0" w:rsidR="003D54AE" w:rsidRDefault="003D54AE" w:rsidP="003D54AE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contextualSpacing w:val="0"/>
        <w:rPr>
          <w:rFonts w:ascii="ArialNarrow" w:eastAsiaTheme="minorEastAsia" w:hAnsi="ArialNarrow" w:cs="ArialNarrow"/>
          <w:color w:val="17365D"/>
          <w:szCs w:val="22"/>
          <w:lang w:eastAsia="zh-CN"/>
        </w:rPr>
      </w:pPr>
      <w:r>
        <w:rPr>
          <w:rFonts w:ascii="ArialNarrow" w:eastAsiaTheme="minorEastAsia" w:hAnsi="ArialNarrow" w:cs="ArialNarrow"/>
          <w:color w:val="17365D"/>
          <w:szCs w:val="22"/>
          <w:lang w:eastAsia="zh-CN"/>
        </w:rPr>
        <w:t>Providing support for Individualised Inquiry Cycles with an explicit focus on utilising the literacy continuum as a guide for student development.</w:t>
      </w:r>
    </w:p>
    <w:p w14:paraId="44F41ECA" w14:textId="39D19D08" w:rsidR="009F7CBD" w:rsidRPr="00EC632F" w:rsidRDefault="003D54AE" w:rsidP="003D54AE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contextualSpacing w:val="0"/>
        <w:rPr>
          <w:rFonts w:cs="Arial"/>
          <w:i/>
          <w:color w:val="17365D" w:themeColor="text2" w:themeShade="BF"/>
          <w:sz w:val="14"/>
          <w:szCs w:val="14"/>
        </w:rPr>
      </w:pPr>
      <w:r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Building teacher </w:t>
      </w:r>
      <w:r w:rsidR="003E3666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and teacher aide </w:t>
      </w:r>
      <w:r>
        <w:rPr>
          <w:rFonts w:ascii="ArialNarrow" w:eastAsiaTheme="minorEastAsia" w:hAnsi="ArialNarrow" w:cs="ArialNarrow"/>
          <w:color w:val="17365D"/>
          <w:szCs w:val="22"/>
          <w:lang w:eastAsia="zh-CN"/>
        </w:rPr>
        <w:t>knowledge and understanding of curriculum demands,</w:t>
      </w:r>
      <w:r w:rsidR="003E3666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 including SDK and APP </w:t>
      </w:r>
      <w:r w:rsidR="00D40E6A">
        <w:rPr>
          <w:rFonts w:ascii="ArialNarrow" w:eastAsiaTheme="minorEastAsia" w:hAnsi="ArialNarrow" w:cs="ArialNarrow"/>
          <w:color w:val="17365D"/>
          <w:szCs w:val="22"/>
          <w:lang w:eastAsia="zh-CN"/>
        </w:rPr>
        <w:t>planning and procedures,</w:t>
      </w:r>
      <w:r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 through planning days </w:t>
      </w:r>
      <w:r w:rsidR="00D40E6A">
        <w:rPr>
          <w:rFonts w:ascii="ArialNarrow" w:eastAsiaTheme="minorEastAsia" w:hAnsi="ArialNarrow" w:cs="ArialNarrow"/>
          <w:color w:val="17365D"/>
          <w:szCs w:val="22"/>
          <w:lang w:eastAsia="zh-CN"/>
        </w:rPr>
        <w:t xml:space="preserve">and attending professional learning/ site visits as available. </w:t>
      </w:r>
    </w:p>
    <w:p w14:paraId="6AEB60A1" w14:textId="77777777" w:rsidR="00EC632F" w:rsidRPr="00CC7E70" w:rsidRDefault="00EC632F" w:rsidP="00EC632F">
      <w:pPr>
        <w:pStyle w:val="ListParagraph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4395"/>
        <w:gridCol w:w="4677"/>
        <w:gridCol w:w="1122"/>
        <w:gridCol w:w="11"/>
      </w:tblGrid>
      <w:tr w:rsidR="009F7CBD" w14:paraId="44F41ECC" w14:textId="77777777" w:rsidTr="00592C3D">
        <w:trPr>
          <w:cantSplit/>
          <w:trHeight w:val="397"/>
        </w:trPr>
        <w:tc>
          <w:tcPr>
            <w:tcW w:w="10205" w:type="dxa"/>
            <w:gridSpan w:val="4"/>
            <w:shd w:val="clear" w:color="auto" w:fill="FFF789"/>
            <w:vAlign w:val="center"/>
          </w:tcPr>
          <w:p w14:paraId="44F41ECB" w14:textId="43030768" w:rsidR="009F7CBD" w:rsidRDefault="009F7CBD" w:rsidP="00592C3D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</w:rPr>
              <w:t>Our school will improve student outcomes by</w:t>
            </w:r>
          </w:p>
        </w:tc>
      </w:tr>
      <w:tr w:rsidR="002D0324" w14:paraId="637DCDC5" w14:textId="77777777" w:rsidTr="003E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1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633CA" w14:textId="77777777" w:rsidR="002D0324" w:rsidRPr="002D0324" w:rsidRDefault="002D0324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DB9AE" w14:textId="77777777" w:rsidR="002D0324" w:rsidRPr="002D0324" w:rsidRDefault="002D0324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950CF" w14:textId="77777777" w:rsidR="002D0324" w:rsidRPr="002D0324" w:rsidRDefault="002D0324" w:rsidP="003E3666">
            <w:pPr>
              <w:tabs>
                <w:tab w:val="left" w:pos="426"/>
              </w:tabs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2D0324" w14:paraId="323C6D2E" w14:textId="77777777" w:rsidTr="003E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1" w:type="dxa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EAF92C" w14:textId="77777777" w:rsidR="002D0324" w:rsidRDefault="002D0324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2D0324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Purchasing teacher release time for continues monitoring and planning of individualised inquiry cycles and learning. </w:t>
            </w:r>
          </w:p>
          <w:p w14:paraId="1DA608E5" w14:textId="398211A0" w:rsidR="00D40E6A" w:rsidRPr="002D0324" w:rsidRDefault="00D40E6A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B005FF" w14:textId="6129374B" w:rsidR="002D0324" w:rsidRPr="002D0324" w:rsidRDefault="002D0324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2D0324"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Teachers to be given 1 day per term to work together on literacy continuum and IICs. 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2C215" w14:textId="187DFCD9" w:rsidR="002D0324" w:rsidRPr="002D0324" w:rsidRDefault="002D0324" w:rsidP="003E3666">
            <w:pPr>
              <w:tabs>
                <w:tab w:val="left" w:pos="426"/>
              </w:tabs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2D0324">
              <w:rPr>
                <w:rFonts w:cs="Arial"/>
                <w:color w:val="17365D" w:themeColor="text2" w:themeShade="BF"/>
                <w:sz w:val="20"/>
                <w:szCs w:val="20"/>
              </w:rPr>
              <w:t>$3,200</w:t>
            </w:r>
          </w:p>
        </w:tc>
      </w:tr>
      <w:tr w:rsidR="002D0324" w14:paraId="6488C926" w14:textId="77777777" w:rsidTr="003E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1" w:type="dxa"/>
        </w:trPr>
        <w:tc>
          <w:tcPr>
            <w:tcW w:w="4395" w:type="dxa"/>
            <w:shd w:val="clear" w:color="auto" w:fill="auto"/>
          </w:tcPr>
          <w:p w14:paraId="41BCA52E" w14:textId="77777777" w:rsidR="002D0324" w:rsidRDefault="00EC632F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Release Teacher Aide to attend workshops on AAP and SDK planning and approaches</w:t>
            </w:r>
          </w:p>
          <w:p w14:paraId="53355779" w14:textId="4A65E2DA" w:rsidR="00D40E6A" w:rsidRPr="00EC632F" w:rsidRDefault="00D40E6A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069AE06" w14:textId="0C1590DA" w:rsidR="002D0324" w:rsidRPr="00EC632F" w:rsidRDefault="00EC632F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T/A to attend with Principal at SDK professional learning days.</w:t>
            </w:r>
          </w:p>
        </w:tc>
        <w:tc>
          <w:tcPr>
            <w:tcW w:w="1122" w:type="dxa"/>
            <w:vAlign w:val="center"/>
          </w:tcPr>
          <w:p w14:paraId="3145F9B1" w14:textId="6D93850C" w:rsidR="002D0324" w:rsidRPr="00EC632F" w:rsidRDefault="00EC632F" w:rsidP="003E3666">
            <w:pPr>
              <w:tabs>
                <w:tab w:val="left" w:pos="426"/>
              </w:tabs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$</w:t>
            </w:r>
            <w:r>
              <w:rPr>
                <w:rFonts w:cs="Arial"/>
                <w:color w:val="17365D" w:themeColor="text2" w:themeShade="BF"/>
                <w:sz w:val="20"/>
                <w:szCs w:val="20"/>
              </w:rPr>
              <w:t>4</w:t>
            </w: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00</w:t>
            </w:r>
          </w:p>
        </w:tc>
      </w:tr>
      <w:tr w:rsidR="002D0324" w14:paraId="33C811EC" w14:textId="77777777" w:rsidTr="003E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1" w:type="dxa"/>
        </w:trPr>
        <w:tc>
          <w:tcPr>
            <w:tcW w:w="4395" w:type="dxa"/>
            <w:shd w:val="clear" w:color="auto" w:fill="F2F2F2" w:themeFill="background1" w:themeFillShade="F2"/>
          </w:tcPr>
          <w:p w14:paraId="6E99AC71" w14:textId="5A7FA4A4" w:rsidR="002D0324" w:rsidRPr="00EC632F" w:rsidRDefault="00EC632F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Purchase of STL&amp;N for Literacy Testing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5B9BFAF9" w14:textId="77777777" w:rsidR="002D0324" w:rsidRDefault="00EC632F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STLN attends 1 day per term for literacy testing</w:t>
            </w:r>
            <w:r>
              <w:rPr>
                <w:rFonts w:cs="Arial"/>
                <w:color w:val="17365D" w:themeColor="text2" w:themeShade="BF"/>
                <w:sz w:val="20"/>
                <w:szCs w:val="20"/>
              </w:rPr>
              <w:t xml:space="preserve">, using Literacy Continuum to continue the support of Individualised Learning. </w:t>
            </w:r>
          </w:p>
          <w:p w14:paraId="18794BA3" w14:textId="7D19A355" w:rsidR="00D40E6A" w:rsidRPr="00EC632F" w:rsidRDefault="00D40E6A" w:rsidP="00592C3D">
            <w:pPr>
              <w:tabs>
                <w:tab w:val="left" w:pos="426"/>
              </w:tabs>
              <w:spacing w:before="6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005764F1" w14:textId="5657F99F" w:rsidR="002D0324" w:rsidRPr="00EC632F" w:rsidRDefault="00EC632F" w:rsidP="003E3666">
            <w:pPr>
              <w:tabs>
                <w:tab w:val="left" w:pos="426"/>
              </w:tabs>
              <w:spacing w:before="60"/>
              <w:jc w:val="center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 w:rsidRPr="00EC632F">
              <w:rPr>
                <w:rFonts w:cs="Arial"/>
                <w:color w:val="17365D" w:themeColor="text2" w:themeShade="BF"/>
                <w:sz w:val="20"/>
                <w:szCs w:val="20"/>
              </w:rPr>
              <w:t>$1,600</w:t>
            </w:r>
          </w:p>
        </w:tc>
      </w:tr>
    </w:tbl>
    <w:p w14:paraId="2E6D1662" w14:textId="153F433B" w:rsidR="00AE574D" w:rsidRDefault="00AE574D" w:rsidP="00AE574D">
      <w:pPr>
        <w:rPr>
          <w:rFonts w:cs="Arial"/>
          <w:sz w:val="12"/>
          <w:szCs w:val="12"/>
        </w:rPr>
      </w:pPr>
    </w:p>
    <w:tbl>
      <w:tblPr>
        <w:tblStyle w:val="TableGrid"/>
        <w:tblpPr w:vertAnchor="page" w:horzAnchor="margin" w:tblpY="13069"/>
        <w:tblOverlap w:val="nev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C71119" w14:paraId="07CEFBA9" w14:textId="77777777" w:rsidTr="00C71119">
        <w:trPr>
          <w:cantSplit/>
          <w:trHeight w:val="794"/>
        </w:trPr>
        <w:tc>
          <w:tcPr>
            <w:tcW w:w="5102" w:type="dxa"/>
          </w:tcPr>
          <w:p w14:paraId="566A61C5" w14:textId="25BCB264" w:rsidR="00C71119" w:rsidRPr="00674681" w:rsidRDefault="003E3666" w:rsidP="00C71119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noProof/>
                <w:color w:val="17365D" w:themeColor="text2" w:themeShade="BF"/>
              </w:rPr>
              <w:drawing>
                <wp:anchor distT="0" distB="0" distL="114300" distR="114300" simplePos="0" relativeHeight="251658240" behindDoc="0" locked="0" layoutInCell="1" allowOverlap="1" wp14:anchorId="737DAFD3" wp14:editId="41242D02">
                  <wp:simplePos x="0" y="0"/>
                  <wp:positionH relativeFrom="column">
                    <wp:posOffset>-116009</wp:posOffset>
                  </wp:positionH>
                  <wp:positionV relativeFrom="paragraph">
                    <wp:posOffset>-300697</wp:posOffset>
                  </wp:positionV>
                  <wp:extent cx="1561514" cy="799567"/>
                  <wp:effectExtent l="0" t="0" r="63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14" cy="79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</w:tcPr>
          <w:p w14:paraId="4A35AA31" w14:textId="6C9A6AAE" w:rsidR="00C71119" w:rsidRPr="00674681" w:rsidRDefault="00C71119" w:rsidP="00C71119">
            <w:pPr>
              <w:rPr>
                <w:rFonts w:cs="Arial"/>
                <w:color w:val="17365D" w:themeColor="text2" w:themeShade="BF"/>
              </w:rPr>
            </w:pPr>
          </w:p>
        </w:tc>
      </w:tr>
      <w:tr w:rsidR="00C71119" w14:paraId="50A70CA1" w14:textId="77777777" w:rsidTr="00C71119">
        <w:trPr>
          <w:cantSplit/>
          <w:trHeight w:val="737"/>
        </w:trPr>
        <w:tc>
          <w:tcPr>
            <w:tcW w:w="5102" w:type="dxa"/>
          </w:tcPr>
          <w:p w14:paraId="2A993E6A" w14:textId="59374C21" w:rsidR="00C71119" w:rsidRPr="00674681" w:rsidRDefault="003E3666" w:rsidP="00C71119">
            <w:pPr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</w:rPr>
              <w:t>Samara Koïdis</w:t>
            </w:r>
          </w:p>
          <w:p w14:paraId="53FC2EF1" w14:textId="77777777" w:rsidR="00C71119" w:rsidRPr="00674681" w:rsidRDefault="00C71119" w:rsidP="00C71119">
            <w:pPr>
              <w:rPr>
                <w:rFonts w:cs="Arial"/>
                <w:color w:val="17365D" w:themeColor="text2" w:themeShade="BF"/>
              </w:rPr>
            </w:pPr>
            <w:r w:rsidRPr="00674681">
              <w:rPr>
                <w:rFonts w:cs="Arial"/>
                <w:color w:val="17365D" w:themeColor="text2" w:themeShade="BF"/>
              </w:rPr>
              <w:t>Principal</w:t>
            </w:r>
          </w:p>
          <w:p w14:paraId="0CA1A381" w14:textId="1CCAB4EF" w:rsidR="00C71119" w:rsidRPr="00674681" w:rsidRDefault="003E3666" w:rsidP="00C71119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Abergowrie State School</w:t>
            </w:r>
          </w:p>
        </w:tc>
        <w:tc>
          <w:tcPr>
            <w:tcW w:w="5102" w:type="dxa"/>
          </w:tcPr>
          <w:p w14:paraId="69A511BA" w14:textId="2D1FF4B4" w:rsidR="00DA6FC0" w:rsidRPr="00DA6FC0" w:rsidRDefault="003E3666" w:rsidP="00DA6FC0">
            <w:pPr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</w:rPr>
              <w:t xml:space="preserve">Michael </w:t>
            </w:r>
            <w:proofErr w:type="spellStart"/>
            <w:r>
              <w:rPr>
                <w:rFonts w:cs="Arial"/>
                <w:b/>
                <w:color w:val="17365D" w:themeColor="text2" w:themeShade="BF"/>
              </w:rPr>
              <w:t>De’Ath</w:t>
            </w:r>
            <w:proofErr w:type="spellEnd"/>
          </w:p>
          <w:p w14:paraId="2631A42B" w14:textId="6AC20A4A" w:rsidR="00DA6FC0" w:rsidRPr="00DA6FC0" w:rsidRDefault="00DA6FC0" w:rsidP="00DA6FC0">
            <w:pPr>
              <w:rPr>
                <w:rFonts w:cs="Arial"/>
                <w:color w:val="17365D" w:themeColor="text2" w:themeShade="BF"/>
              </w:rPr>
            </w:pPr>
            <w:r w:rsidRPr="00DA6FC0">
              <w:rPr>
                <w:rFonts w:cs="Arial"/>
                <w:color w:val="17365D" w:themeColor="text2" w:themeShade="BF"/>
              </w:rPr>
              <w:t>Director-General</w:t>
            </w:r>
          </w:p>
          <w:p w14:paraId="4ADE63CA" w14:textId="0562465A" w:rsidR="00C71119" w:rsidRPr="00D2498A" w:rsidRDefault="00C71119" w:rsidP="00DA6FC0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>Department of Education</w:t>
            </w:r>
          </w:p>
        </w:tc>
      </w:tr>
    </w:tbl>
    <w:p w14:paraId="504051AD" w14:textId="160DAD43" w:rsidR="00EC632F" w:rsidRDefault="00EC632F" w:rsidP="00EC632F">
      <w:pPr>
        <w:rPr>
          <w:rFonts w:cs="Arial"/>
          <w:sz w:val="12"/>
          <w:szCs w:val="12"/>
        </w:rPr>
      </w:pPr>
    </w:p>
    <w:sectPr w:rsidR="00EC632F" w:rsidSect="00EC632F">
      <w:headerReference w:type="default" r:id="rId12"/>
      <w:footerReference w:type="default" r:id="rId13"/>
      <w:pgSz w:w="11906" w:h="16838" w:code="9"/>
      <w:pgMar w:top="709" w:right="851" w:bottom="851" w:left="85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47F0" w14:textId="77777777" w:rsidR="008D7742" w:rsidRDefault="008D7742" w:rsidP="001A0F1C">
      <w:r>
        <w:separator/>
      </w:r>
    </w:p>
  </w:endnote>
  <w:endnote w:type="continuationSeparator" w:id="0">
    <w:p w14:paraId="648B31FD" w14:textId="77777777" w:rsidR="008D7742" w:rsidRDefault="008D7742" w:rsidP="001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1EE7" w14:textId="305FF10C" w:rsidR="00685021" w:rsidRDefault="00240493">
    <w:pPr>
      <w:pStyle w:val="Footer"/>
    </w:pPr>
    <w:r w:rsidRPr="00240493">
      <w:rPr>
        <w:rFonts w:cs="Arial"/>
        <w:i/>
        <w:noProof/>
        <w:color w:val="0F243E" w:themeColor="text2" w:themeShade="80"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2C46D" wp14:editId="633E19EB">
              <wp:simplePos x="0" y="0"/>
              <wp:positionH relativeFrom="column">
                <wp:posOffset>7620</wp:posOffset>
              </wp:positionH>
              <wp:positionV relativeFrom="paragraph">
                <wp:posOffset>-297180</wp:posOffset>
              </wp:positionV>
              <wp:extent cx="6628765" cy="288000"/>
              <wp:effectExtent l="0" t="0" r="635" b="171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8765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44FD0" w14:textId="77777777" w:rsidR="00240493" w:rsidRDefault="00240493" w:rsidP="00240493">
                          <w:pPr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</w:pPr>
                        </w:p>
                        <w:p w14:paraId="55C6EDA1" w14:textId="407F7C44" w:rsidR="00240493" w:rsidRPr="00AE574D" w:rsidRDefault="00240493" w:rsidP="00240493">
                          <w:pPr>
                            <w:rPr>
                              <w:color w:val="0F243E" w:themeColor="text2" w:themeShade="80"/>
                              <w:sz w:val="12"/>
                              <w:szCs w:val="12"/>
                            </w:rPr>
                          </w:pP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*Funding amount estimated on 20</w:t>
                          </w:r>
                          <w:r w:rsidR="00796C3E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2</w:t>
                          </w:r>
                          <w:r w:rsidR="006779C5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1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data. Actual funding will be determined after 202</w:t>
                          </w:r>
                          <w:r w:rsidR="00DA6FC0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2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enrolment data are finalised. Actual expenditure may vary due to changes in finalised 202</w:t>
                          </w:r>
                          <w:r w:rsidR="00DA6FC0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>2</w:t>
                          </w:r>
                          <w:r w:rsidRPr="00AE574D">
                            <w:rPr>
                              <w:rFonts w:cs="Arial"/>
                              <w:i/>
                              <w:color w:val="0F243E" w:themeColor="text2" w:themeShade="80"/>
                              <w:sz w:val="12"/>
                              <w:szCs w:val="12"/>
                            </w:rPr>
                            <w:t xml:space="preserve"> enrolment data and student learning needs.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4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6pt;margin-top:-23.4pt;width:521.95pt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" filled="f" stroked="f">
              <v:textbox inset="0,0,0,0">
                <w:txbxContent>
                  <w:p w14:paraId="3F144FD0" w14:textId="77777777" w:rsidR="00240493" w:rsidRDefault="00240493" w:rsidP="00240493">
                    <w:pPr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</w:pPr>
                  </w:p>
                  <w:p w14:paraId="55C6EDA1" w14:textId="407F7C44" w:rsidR="00240493" w:rsidRPr="00AE574D" w:rsidRDefault="00240493" w:rsidP="00240493">
                    <w:pPr>
                      <w:rPr>
                        <w:color w:val="0F243E" w:themeColor="text2" w:themeShade="80"/>
                        <w:sz w:val="12"/>
                        <w:szCs w:val="12"/>
                      </w:rPr>
                    </w:pP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*Funding amount estimated on 20</w:t>
                    </w:r>
                    <w:r w:rsidR="00796C3E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2</w:t>
                    </w:r>
                    <w:r w:rsidR="006779C5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1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data. Actual funding will be determined after 202</w:t>
                    </w:r>
                    <w:r w:rsidR="00DA6FC0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2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enrolment data are finalised. Actual expenditure may vary due to changes in finalised 202</w:t>
                    </w:r>
                    <w:r w:rsidR="00DA6FC0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>2</w:t>
                    </w:r>
                    <w:r w:rsidRPr="00AE574D">
                      <w:rPr>
                        <w:rFonts w:cs="Arial"/>
                        <w:i/>
                        <w:color w:val="0F243E" w:themeColor="text2" w:themeShade="80"/>
                        <w:sz w:val="12"/>
                        <w:szCs w:val="12"/>
                      </w:rPr>
                      <w:t xml:space="preserve"> enrolment data and student learning needs.</w:t>
                    </w:r>
                  </w:p>
                </w:txbxContent>
              </v:textbox>
            </v:shape>
          </w:pict>
        </mc:Fallback>
      </mc:AlternateContent>
    </w:r>
    <w:r w:rsidRPr="00240493">
      <w:rPr>
        <w:rFonts w:cs="Arial"/>
        <w:i/>
        <w:noProof/>
        <w:color w:val="0F243E" w:themeColor="text2" w:themeShade="80"/>
        <w:sz w:val="12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7E404A03" wp14:editId="39A6A92A">
          <wp:simplePos x="0" y="0"/>
          <wp:positionH relativeFrom="column">
            <wp:posOffset>-228600</wp:posOffset>
          </wp:positionH>
          <wp:positionV relativeFrom="paragraph">
            <wp:posOffset>-990600</wp:posOffset>
          </wp:positionV>
          <wp:extent cx="6959600" cy="670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70"/>
                  <a:stretch/>
                </pic:blipFill>
                <pic:spPr bwMode="auto">
                  <a:xfrm>
                    <a:off x="0" y="0"/>
                    <a:ext cx="6959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7B1E" w14:textId="77777777" w:rsidR="008D7742" w:rsidRDefault="008D7742" w:rsidP="001A0F1C">
      <w:r>
        <w:separator/>
      </w:r>
    </w:p>
  </w:footnote>
  <w:footnote w:type="continuationSeparator" w:id="0">
    <w:p w14:paraId="761B30E2" w14:textId="77777777" w:rsidR="008D7742" w:rsidRDefault="008D7742" w:rsidP="001A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1EE6" w14:textId="616B0C5F" w:rsidR="00685021" w:rsidRDefault="008A1406" w:rsidP="00674E6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05D2D3F3" wp14:editId="47DA14B5">
          <wp:simplePos x="0" y="0"/>
          <wp:positionH relativeFrom="column">
            <wp:posOffset>-227965</wp:posOffset>
          </wp:positionH>
          <wp:positionV relativeFrom="paragraph">
            <wp:posOffset>-71755</wp:posOffset>
          </wp:positionV>
          <wp:extent cx="6958800" cy="464400"/>
          <wp:effectExtent l="0" t="0" r="0" b="0"/>
          <wp:wrapTight wrapText="bothSides">
            <wp:wrapPolygon edited="0">
              <wp:start x="0" y="0"/>
              <wp:lineTo x="0" y="20389"/>
              <wp:lineTo x="21525" y="20389"/>
              <wp:lineTo x="215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8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AE"/>
    <w:multiLevelType w:val="hybridMultilevel"/>
    <w:tmpl w:val="4962A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F33"/>
    <w:multiLevelType w:val="hybridMultilevel"/>
    <w:tmpl w:val="4016DD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" w15:restartNumberingAfterBreak="0">
    <w:nsid w:val="15BB6C56"/>
    <w:multiLevelType w:val="hybridMultilevel"/>
    <w:tmpl w:val="DF0430B6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124BF4"/>
    <w:multiLevelType w:val="hybridMultilevel"/>
    <w:tmpl w:val="1018C67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" w15:restartNumberingAfterBreak="0">
    <w:nsid w:val="2037262F"/>
    <w:multiLevelType w:val="hybridMultilevel"/>
    <w:tmpl w:val="1F4AE3F8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268038F3"/>
    <w:multiLevelType w:val="hybridMultilevel"/>
    <w:tmpl w:val="23561CE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DC3E75"/>
    <w:multiLevelType w:val="hybridMultilevel"/>
    <w:tmpl w:val="8E106AB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3248"/>
    <w:multiLevelType w:val="hybridMultilevel"/>
    <w:tmpl w:val="7640E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E037B"/>
    <w:multiLevelType w:val="hybridMultilevel"/>
    <w:tmpl w:val="3550C9EA"/>
    <w:lvl w:ilvl="0" w:tplc="C57CC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1"/>
        <w:szCs w:val="1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77B4B"/>
    <w:multiLevelType w:val="hybridMultilevel"/>
    <w:tmpl w:val="9684D29C"/>
    <w:lvl w:ilvl="0" w:tplc="0C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 w15:restartNumberingAfterBreak="0">
    <w:nsid w:val="69497672"/>
    <w:multiLevelType w:val="multilevel"/>
    <w:tmpl w:val="8F0E79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B33DB"/>
    <w:multiLevelType w:val="hybridMultilevel"/>
    <w:tmpl w:val="28AEEC7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7351D7"/>
    <w:multiLevelType w:val="hybridMultilevel"/>
    <w:tmpl w:val="A9D4B43E"/>
    <w:lvl w:ilvl="0" w:tplc="4E14D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619"/>
    <w:multiLevelType w:val="hybridMultilevel"/>
    <w:tmpl w:val="45D087A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F07725"/>
    <w:multiLevelType w:val="hybridMultilevel"/>
    <w:tmpl w:val="27D2F2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F47E4"/>
    <w:multiLevelType w:val="hybridMultilevel"/>
    <w:tmpl w:val="86C829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3234E7"/>
    <w:multiLevelType w:val="hybridMultilevel"/>
    <w:tmpl w:val="77E64E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1C"/>
    <w:rsid w:val="00002E93"/>
    <w:rsid w:val="000411F9"/>
    <w:rsid w:val="000434C3"/>
    <w:rsid w:val="0007647F"/>
    <w:rsid w:val="000772FE"/>
    <w:rsid w:val="00090323"/>
    <w:rsid w:val="00092C39"/>
    <w:rsid w:val="000A51D4"/>
    <w:rsid w:val="000D50D2"/>
    <w:rsid w:val="000F5909"/>
    <w:rsid w:val="00167BF5"/>
    <w:rsid w:val="0019305E"/>
    <w:rsid w:val="001A0F1C"/>
    <w:rsid w:val="00240493"/>
    <w:rsid w:val="0027383A"/>
    <w:rsid w:val="00275571"/>
    <w:rsid w:val="002A36F3"/>
    <w:rsid w:val="002B53F4"/>
    <w:rsid w:val="002C11D7"/>
    <w:rsid w:val="002D0324"/>
    <w:rsid w:val="002E1F6E"/>
    <w:rsid w:val="00332CBF"/>
    <w:rsid w:val="003818D8"/>
    <w:rsid w:val="003C0245"/>
    <w:rsid w:val="003C5401"/>
    <w:rsid w:val="003D54AE"/>
    <w:rsid w:val="003E3666"/>
    <w:rsid w:val="003E7EB8"/>
    <w:rsid w:val="0041310D"/>
    <w:rsid w:val="0049030D"/>
    <w:rsid w:val="004957F0"/>
    <w:rsid w:val="004F2751"/>
    <w:rsid w:val="0052285B"/>
    <w:rsid w:val="00592C3D"/>
    <w:rsid w:val="005C7D23"/>
    <w:rsid w:val="00660E65"/>
    <w:rsid w:val="00667E98"/>
    <w:rsid w:val="00674681"/>
    <w:rsid w:val="00674E6B"/>
    <w:rsid w:val="006779C5"/>
    <w:rsid w:val="00685021"/>
    <w:rsid w:val="006C1717"/>
    <w:rsid w:val="006C1733"/>
    <w:rsid w:val="006D3ACB"/>
    <w:rsid w:val="006F6722"/>
    <w:rsid w:val="00724278"/>
    <w:rsid w:val="00724DFE"/>
    <w:rsid w:val="007550CE"/>
    <w:rsid w:val="00796C3E"/>
    <w:rsid w:val="007A2488"/>
    <w:rsid w:val="007D5D45"/>
    <w:rsid w:val="008225B5"/>
    <w:rsid w:val="00837561"/>
    <w:rsid w:val="00851CB6"/>
    <w:rsid w:val="00870F08"/>
    <w:rsid w:val="00895FE0"/>
    <w:rsid w:val="008A1406"/>
    <w:rsid w:val="008B2834"/>
    <w:rsid w:val="008D7742"/>
    <w:rsid w:val="008F24DC"/>
    <w:rsid w:val="00917F1C"/>
    <w:rsid w:val="009368BD"/>
    <w:rsid w:val="00942C6D"/>
    <w:rsid w:val="009465B1"/>
    <w:rsid w:val="0094676F"/>
    <w:rsid w:val="00975416"/>
    <w:rsid w:val="009849DE"/>
    <w:rsid w:val="009E3204"/>
    <w:rsid w:val="009F39A7"/>
    <w:rsid w:val="009F5A58"/>
    <w:rsid w:val="009F7CBD"/>
    <w:rsid w:val="00A65F26"/>
    <w:rsid w:val="00A96D4B"/>
    <w:rsid w:val="00AE574D"/>
    <w:rsid w:val="00B102F7"/>
    <w:rsid w:val="00B15600"/>
    <w:rsid w:val="00B55D29"/>
    <w:rsid w:val="00BA403D"/>
    <w:rsid w:val="00BC487E"/>
    <w:rsid w:val="00BD02FC"/>
    <w:rsid w:val="00C501EA"/>
    <w:rsid w:val="00C71119"/>
    <w:rsid w:val="00CA0B32"/>
    <w:rsid w:val="00CC3CDA"/>
    <w:rsid w:val="00CC7E70"/>
    <w:rsid w:val="00CD4850"/>
    <w:rsid w:val="00D0254E"/>
    <w:rsid w:val="00D2498A"/>
    <w:rsid w:val="00D36605"/>
    <w:rsid w:val="00D4054D"/>
    <w:rsid w:val="00D40E6A"/>
    <w:rsid w:val="00D4227D"/>
    <w:rsid w:val="00D72959"/>
    <w:rsid w:val="00D9475E"/>
    <w:rsid w:val="00DA6FC0"/>
    <w:rsid w:val="00DD13E5"/>
    <w:rsid w:val="00DE267B"/>
    <w:rsid w:val="00E05FBD"/>
    <w:rsid w:val="00E07B99"/>
    <w:rsid w:val="00E344EB"/>
    <w:rsid w:val="00E92C4E"/>
    <w:rsid w:val="00EB28CF"/>
    <w:rsid w:val="00EC632F"/>
    <w:rsid w:val="00EE4D1E"/>
    <w:rsid w:val="00EE52C3"/>
    <w:rsid w:val="00F54452"/>
    <w:rsid w:val="00FB2A5A"/>
    <w:rsid w:val="00FC5AF5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F41EB3"/>
  <w15:docId w15:val="{1B2E73D7-B940-4104-8776-910C581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B99"/>
    <w:pPr>
      <w:spacing w:before="0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1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C7E70"/>
    <w:pPr>
      <w:ind w:left="720"/>
      <w:contextualSpacing/>
    </w:pPr>
  </w:style>
  <w:style w:type="table" w:styleId="TableGrid">
    <w:name w:val="Table Grid"/>
    <w:basedOn w:val="TableNormal"/>
    <w:uiPriority w:val="59"/>
    <w:rsid w:val="00CC7E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82F47D2314FD193451FAA33C5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C42F-8078-422C-954D-BB2679D1B5E9}"/>
      </w:docPartPr>
      <w:docPartBody>
        <w:p w:rsidR="003B5878" w:rsidRDefault="00C173B5" w:rsidP="00C173B5">
          <w:pPr>
            <w:pStyle w:val="43682F47D2314FD193451FAA33C55227"/>
          </w:pPr>
          <w:r w:rsidRPr="00B67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3B5"/>
    <w:rsid w:val="0024686A"/>
    <w:rsid w:val="003B5878"/>
    <w:rsid w:val="00432B33"/>
    <w:rsid w:val="008006FF"/>
    <w:rsid w:val="0091160A"/>
    <w:rsid w:val="009B65C0"/>
    <w:rsid w:val="00A665C1"/>
    <w:rsid w:val="00C173B5"/>
    <w:rsid w:val="00D82277"/>
    <w:rsid w:val="00FA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277"/>
    <w:rPr>
      <w:color w:val="808080"/>
    </w:rPr>
  </w:style>
  <w:style w:type="paragraph" w:customStyle="1" w:styleId="A3818D22EBF041E98D5F21A0743D8183">
    <w:name w:val="A3818D22EBF041E98D5F21A0743D8183"/>
    <w:rsid w:val="00C173B5"/>
  </w:style>
  <w:style w:type="paragraph" w:customStyle="1" w:styleId="43682F47D2314FD193451FAA33C55227">
    <w:name w:val="43682F47D2314FD193451FAA33C55227"/>
    <w:rsid w:val="00C173B5"/>
  </w:style>
  <w:style w:type="paragraph" w:customStyle="1" w:styleId="DF84EC7D69474445938C9F1A1AA245FC">
    <w:name w:val="DF84EC7D69474445938C9F1A1AA245FC"/>
    <w:rsid w:val="00C173B5"/>
  </w:style>
  <w:style w:type="paragraph" w:customStyle="1" w:styleId="42B5B93272C64659BB712B0E313C6486">
    <w:name w:val="42B5B93272C64659BB712B0E313C6486"/>
    <w:rsid w:val="00C173B5"/>
  </w:style>
  <w:style w:type="paragraph" w:customStyle="1" w:styleId="75103534925F49109864959439F4247C">
    <w:name w:val="75103534925F49109864959439F4247C"/>
    <w:rsid w:val="00C173B5"/>
  </w:style>
  <w:style w:type="paragraph" w:customStyle="1" w:styleId="3007B645632B404DA963B7B4A9E95776">
    <w:name w:val="3007B645632B404DA963B7B4A9E95776"/>
    <w:rsid w:val="00C173B5"/>
  </w:style>
  <w:style w:type="paragraph" w:customStyle="1" w:styleId="945E545CB9B5420C848C726BB783C8BA">
    <w:name w:val="945E545CB9B5420C848C726BB783C8BA"/>
    <w:rsid w:val="00D82277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ModeratedBy xmlns="9ce41d02-50cb-40e9-9802-7980e62e580f">
      <UserInfo>
        <DisplayName>SIRETT, Mary</DisplayName>
        <AccountId>27</AccountId>
        <AccountType/>
      </UserInfo>
    </PPModeratedBy>
    <PPPublishedNotificationAddresses xmlns="9ce41d02-50cb-40e9-9802-7980e62e580f" xsi:nil="true"/>
    <PPReviewDate xmlns="9ce41d02-50cb-40e9-9802-7980e62e580f" xsi:nil="true"/>
    <PPReferenceNumber xmlns="9ce41d02-50cb-40e9-9802-7980e62e580f" xsi:nil="true"/>
    <PPModeratedDate xmlns="9ce41d02-50cb-40e9-9802-7980e62e580f">2023-12-21T04:10:47+00:00</PPModeratedDate>
    <PPLastReviewedDate xmlns="9ce41d02-50cb-40e9-9802-7980e62e580f">2023-12-21T04:10:47+00:00</PPLastReviewedDate>
    <PPLastReviewedBy xmlns="9ce41d02-50cb-40e9-9802-7980e62e580f">
      <UserInfo>
        <DisplayName>SIRETT, Mary</DisplayName>
        <AccountId>27</AccountId>
        <AccountType/>
      </UserInfo>
    </PPLastReviewedBy>
    <PPContentOwner xmlns="9ce41d02-50cb-40e9-9802-7980e62e580f">
      <UserInfo>
        <DisplayName>SIRETT, Mary</DisplayName>
        <AccountId>27</AccountId>
        <AccountType/>
      </UserInfo>
    </PPContentOwner>
    <PPSubmittedBy xmlns="9ce41d02-50cb-40e9-9802-7980e62e580f">
      <UserInfo>
        <DisplayName>SIRETT, Mary</DisplayName>
        <AccountId>27</AccountId>
        <AccountType/>
      </UserInfo>
    </PPSubmittedBy>
    <PublishingExpirationDate xmlns="http://schemas.microsoft.com/sharepoint/v3" xsi:nil="true"/>
    <PublishingStartDate xmlns="http://schemas.microsoft.com/sharepoint/v3" xsi:nil="true"/>
    <PPContentAuthor xmlns="9ce41d02-50cb-40e9-9802-7980e62e580f">
      <UserInfo>
        <DisplayName>KOIDIS, Samara</DisplayName>
        <AccountId>55</AccountId>
        <AccountType/>
      </UserInfo>
    </PPContentAuthor>
    <PPContentApprover xmlns="9ce41d02-50cb-40e9-9802-7980e62e580f">
      <UserInfo>
        <DisplayName>SIRETT, Mary</DisplayName>
        <AccountId>27</AccountId>
        <AccountType/>
      </UserInfo>
    </PPContentApprover>
    <PPSubmittedDate xmlns="9ce41d02-50cb-40e9-9802-7980e62e580f">2023-12-21T04:10:33+00:00</PPSubmit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34196067E0949A85EFFA97056D414" ma:contentTypeVersion="14" ma:contentTypeDescription="Create a new document." ma:contentTypeScope="" ma:versionID="a02665b59c5b479727ea3e1f3bd429c2">
  <xsd:schema xmlns:xsd="http://www.w3.org/2001/XMLSchema" xmlns:xs="http://www.w3.org/2001/XMLSchema" xmlns:p="http://schemas.microsoft.com/office/2006/metadata/properties" xmlns:ns1="http://schemas.microsoft.com/sharepoint/v3" xmlns:ns2="9ce41d02-50cb-40e9-9802-7980e62e580f" targetNamespace="http://schemas.microsoft.com/office/2006/metadata/properties" ma:root="true" ma:fieldsID="8dfd2387f56f95ac8b0377050f7654a8" ns1:_="" ns2:_="">
    <xsd:import namespace="http://schemas.microsoft.com/sharepoint/v3"/>
    <xsd:import namespace="9ce41d02-50cb-40e9-9802-7980e62e58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1d02-50cb-40e9-9802-7980e62e58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41851-EB1D-4BCA-B0AC-65CC80295518}"/>
</file>

<file path=customXml/itemProps2.xml><?xml version="1.0" encoding="utf-8"?>
<ds:datastoreItem xmlns:ds="http://schemas.openxmlformats.org/officeDocument/2006/customXml" ds:itemID="{E2B01E55-4C76-4506-88A8-986BA4D91A3E}"/>
</file>

<file path=customXml/itemProps3.xml><?xml version="1.0" encoding="utf-8"?>
<ds:datastoreItem xmlns:ds="http://schemas.openxmlformats.org/officeDocument/2006/customXml" ds:itemID="{7A020E20-4522-4FA5-8468-2DA73D77E6F7}"/>
</file>

<file path=customXml/itemProps4.xml><?xml version="1.0" encoding="utf-8"?>
<ds:datastoreItem xmlns:ds="http://schemas.openxmlformats.org/officeDocument/2006/customXml" ds:itemID="{B2E1E615-A4DE-481A-A71E-A2B39B1D1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state school agreement template</vt:lpstr>
    </vt:vector>
  </TitlesOfParts>
  <Company>Queensland Government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For Success 2022</dc:title>
  <dc:subject>Queensland state school agreement template</dc:subject>
  <dc:creator>Queensland Government</dc:creator>
  <cp:keywords>Queensland; state school; agreement; template</cp:keywords>
  <cp:lastModifiedBy>KOIDIS, Samara (skoid4)</cp:lastModifiedBy>
  <cp:revision>2</cp:revision>
  <cp:lastPrinted>2022-02-22T02:05:00Z</cp:lastPrinted>
  <dcterms:created xsi:type="dcterms:W3CDTF">2022-02-24T00:43:00Z</dcterms:created>
  <dcterms:modified xsi:type="dcterms:W3CDTF">2022-02-24T00:43:00Z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0x010100D5534196067E0949A85EFFA97056D414</vt:lpwstr>
  </property>
  <property fmtid="{D5CDD505-2E9C-101B-9397-08002B2CF9AE}" pid="3" name="PublishingContact">
    <vt:lpwstr/>
  </property>
  <property fmtid="{D5CDD505-2E9C-101B-9397-08002B2CF9AE}" pid="4" name="Item Description">
    <vt:lpwstr>IPS agreement template</vt:lpwstr>
  </property>
  <property fmtid="{D5CDD505-2E9C-101B-9397-08002B2CF9AE}" pid="5" name="Language">
    <vt:lpwstr>English</vt:lpwstr>
  </property>
  <property fmtid="{D5CDD505-2E9C-101B-9397-08002B2CF9AE}" pid="6" name="Security">
    <vt:lpwstr>Unclassified</vt:lpwstr>
  </property>
  <property fmtid="{D5CDD505-2E9C-101B-9397-08002B2CF9AE}" pid="7" name="Title alternative">
    <vt:lpwstr/>
  </property>
  <property fmtid="{D5CDD505-2E9C-101B-9397-08002B2CF9AE}" pid="8" name="Creator and publisher">
    <vt:lpwstr>Department of Education and Training, Queensland</vt:lpwstr>
  </property>
  <property fmtid="{D5CDD505-2E9C-101B-9397-08002B2CF9AE}" pid="9" name="OnePortal coverage">
    <vt:lpwstr>Queensland</vt:lpwstr>
  </property>
  <property fmtid="{D5CDD505-2E9C-101B-9397-08002B2CF9AE}" pid="10" name="Rights">
    <vt:lpwstr>State of Queensland (Department of Education and Training)</vt:lpwstr>
  </property>
  <property fmtid="{D5CDD505-2E9C-101B-9397-08002B2CF9AE}" pid="11" name="_DCDateCreated">
    <vt:filetime>2015-12-07T23:27:02Z</vt:filetime>
  </property>
  <property fmtid="{D5CDD505-2E9C-101B-9397-08002B2CF9AE}" pid="12" name="_ResourceType">
    <vt:lpwstr>Other</vt:lpwstr>
  </property>
  <property fmtid="{D5CDD505-2E9C-101B-9397-08002B2CF9AE}" pid="13" name="System">
    <vt:lpwstr/>
  </property>
</Properties>
</file>